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April, 2020</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62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541655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30, 2020</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640"/>
        <w:spacing w:after="0"/>
        <w:tabs>
          <w:tab w:leader="none" w:pos="6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3931285</wp:posOffset>
            </wp:positionH>
            <wp:positionV relativeFrom="paragraph">
              <wp:posOffset>14605</wp:posOffset>
            </wp:positionV>
            <wp:extent cx="320611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06115" cy="8255"/>
                    </a:xfrm>
                    <a:prstGeom prst="rect">
                      <a:avLst/>
                    </a:prstGeom>
                    <a:noFill/>
                  </pic:spPr>
                </pic:pic>
              </a:graphicData>
            </a:graphic>
          </wp:anchor>
        </w:drawing>
      </w:r>
    </w:p>
    <w:p>
      <w:pPr>
        <w:spacing w:after="0" w:line="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Name: Ana Graciela de Méndez</w:t>
      </w:r>
    </w:p>
    <w:p>
      <w:pPr>
        <w:spacing w:after="0" w:line="9"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571500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2900045</wp:posOffset>
            </wp:positionH>
            <wp:positionV relativeFrom="page">
              <wp:posOffset>620395</wp:posOffset>
            </wp:positionV>
            <wp:extent cx="1714500" cy="7029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1714500" cy="7029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FILES ANNUAL REPORT ON FORM 20-F</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Panama City, Republic of Panama, April 30, 2020 </w:t>
      </w:r>
      <w:r>
        <w:rPr>
          <w:rFonts w:ascii="Arial" w:cs="Arial" w:eastAsia="Arial" w:hAnsi="Arial"/>
          <w:sz w:val="18"/>
          <w:szCs w:val="18"/>
          <w:color w:val="auto"/>
        </w:rPr>
        <w:t>- Banco Latinoamericano de Comercio Exterior, S.A. (“Bladex” or “the Bank”) (NYSE: BLX)</w:t>
      </w:r>
      <w:r>
        <w:rPr>
          <w:rFonts w:ascii="Arial" w:cs="Arial" w:eastAsia="Arial" w:hAnsi="Arial"/>
          <w:sz w:val="18"/>
          <w:szCs w:val="18"/>
          <w:b w:val="1"/>
          <w:bCs w:val="1"/>
          <w:color w:val="auto"/>
        </w:rPr>
        <w:t xml:space="preserve"> </w:t>
      </w:r>
      <w:r>
        <w:rPr>
          <w:rFonts w:ascii="Arial" w:cs="Arial" w:eastAsia="Arial" w:hAnsi="Arial"/>
          <w:sz w:val="18"/>
          <w:szCs w:val="18"/>
          <w:color w:val="auto"/>
        </w:rPr>
        <w:t>announced today that the Bank filed its annual report on Form 20-F for the fiscal year ended December 31, 2019 (the “2019 Annual Report”) with the U.S. Securities and Exchange Commission (the “SEC”).</w:t>
      </w:r>
    </w:p>
    <w:p>
      <w:pPr>
        <w:spacing w:after="0" w:line="18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 xml:space="preserve">The 2019 Annual Report and audited financial statements can be accessed by visiting either the SEC’s website at </w:t>
      </w:r>
      <w:r>
        <w:rPr>
          <w:rFonts w:ascii="Arial" w:cs="Arial" w:eastAsia="Arial" w:hAnsi="Arial"/>
          <w:sz w:val="18"/>
          <w:szCs w:val="18"/>
          <w:u w:val="single" w:color="auto"/>
          <w:color w:val="auto"/>
        </w:rPr>
        <w:t>www.sec.gov</w:t>
      </w:r>
      <w:r>
        <w:rPr>
          <w:rFonts w:ascii="Arial" w:cs="Arial" w:eastAsia="Arial" w:hAnsi="Arial"/>
          <w:sz w:val="18"/>
          <w:szCs w:val="18"/>
          <w:color w:val="auto"/>
        </w:rPr>
        <w:t xml:space="preserve"> or Bladex’s website at </w:t>
      </w:r>
      <w:r>
        <w:rPr>
          <w:rFonts w:ascii="Arial" w:cs="Arial" w:eastAsia="Arial" w:hAnsi="Arial"/>
          <w:sz w:val="18"/>
          <w:szCs w:val="18"/>
          <w:u w:val="single" w:color="auto"/>
          <w:color w:val="auto"/>
        </w:rPr>
        <w:t>www.bladex.com</w:t>
      </w:r>
      <w:r>
        <w:rPr>
          <w:rFonts w:ascii="Arial" w:cs="Arial" w:eastAsia="Arial" w:hAnsi="Arial"/>
          <w:sz w:val="18"/>
          <w:szCs w:val="18"/>
          <w:color w:val="auto"/>
        </w:rPr>
        <w:t>. The Bank can also provide a copy of the Bank’s audited financial statements or annual report on Form 20-F, upon a written request and without charge.</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auto"/>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136130" cy="5867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6130" cy="586740"/>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2020-04-30T15:42:41Z</dcterms:created>
  <dcterms:modified xsi:type="dcterms:W3CDTF">2020-04-30T15:42:41Z</dcterms:modified>
</cp:coreProperties>
</file>